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27" w:rsidRDefault="00FB2B27">
      <w:pPr>
        <w:pStyle w:val="ConsPlusTitle"/>
        <w:jc w:val="center"/>
      </w:pPr>
      <w:bookmarkStart w:id="0" w:name="_GoBack"/>
      <w:bookmarkEnd w:id="0"/>
      <w:r>
        <w:t>ГЛАВНЫЙ ГОСУДАРСТВЕННЫЙ САНИТАРНЫЙ ВРАЧ</w:t>
      </w:r>
    </w:p>
    <w:p w:rsidR="00FB2B27" w:rsidRDefault="00FB2B27">
      <w:pPr>
        <w:pStyle w:val="ConsPlusTitle"/>
        <w:jc w:val="center"/>
      </w:pPr>
      <w:r>
        <w:t>ПО НИЖЕГОРОДСКОЙ ОБЛАСТИ</w:t>
      </w:r>
    </w:p>
    <w:p w:rsidR="00FB2B27" w:rsidRDefault="00FB2B27">
      <w:pPr>
        <w:pStyle w:val="ConsPlusTitle"/>
        <w:ind w:firstLine="540"/>
        <w:jc w:val="both"/>
      </w:pPr>
    </w:p>
    <w:p w:rsidR="00FB2B27" w:rsidRDefault="00FB2B27">
      <w:pPr>
        <w:pStyle w:val="ConsPlusTitle"/>
        <w:jc w:val="center"/>
      </w:pPr>
      <w:r>
        <w:t>ПОСТАНОВЛЕНИЕ</w:t>
      </w:r>
    </w:p>
    <w:p w:rsidR="00FB2B27" w:rsidRDefault="00FB2B27">
      <w:pPr>
        <w:pStyle w:val="ConsPlusTitle"/>
        <w:jc w:val="center"/>
      </w:pPr>
      <w:r>
        <w:t>от 20 июня 2021 г. N 4091</w:t>
      </w:r>
    </w:p>
    <w:p w:rsidR="00FB2B27" w:rsidRDefault="00FB2B27">
      <w:pPr>
        <w:pStyle w:val="ConsPlusTitle"/>
        <w:ind w:firstLine="540"/>
        <w:jc w:val="both"/>
      </w:pPr>
    </w:p>
    <w:p w:rsidR="00FB2B27" w:rsidRDefault="00FB2B27">
      <w:pPr>
        <w:pStyle w:val="ConsPlusTitle"/>
        <w:jc w:val="center"/>
      </w:pPr>
      <w:r>
        <w:t>О ПРОВЕДЕНИИ ПРОФИЛАКТИЧЕСКИХ ПРИВИВОК</w:t>
      </w:r>
    </w:p>
    <w:p w:rsidR="00FB2B27" w:rsidRDefault="00FB2B27">
      <w:pPr>
        <w:pStyle w:val="ConsPlusTitle"/>
        <w:jc w:val="center"/>
      </w:pPr>
      <w:r>
        <w:t>ОТДЕЛЬНЫМ ГРУППАМ ГРАЖДАН ПО ЭПИДЕМИЧЕСКИМ ПОКАЗАНИЯМ</w:t>
      </w:r>
    </w:p>
    <w:p w:rsidR="00FB2B27" w:rsidRDefault="00FB2B27">
      <w:pPr>
        <w:pStyle w:val="ConsPlusNormal"/>
        <w:ind w:firstLine="540"/>
        <w:jc w:val="both"/>
      </w:pPr>
    </w:p>
    <w:p w:rsidR="00FB2B27" w:rsidRDefault="00FB2B27">
      <w:pPr>
        <w:pStyle w:val="ConsPlusNormal"/>
        <w:ind w:firstLine="540"/>
        <w:jc w:val="both"/>
      </w:pPr>
      <w:r>
        <w:t xml:space="preserve">Я, Главный государственный санитарный врач по Нижегородской области Кучеренко Н.С., проанализировав эпидемиологическую ситуацию по заболеваемости новой </w:t>
      </w:r>
      <w:proofErr w:type="spellStart"/>
      <w:r>
        <w:t>коронавирусной</w:t>
      </w:r>
      <w:proofErr w:type="spellEnd"/>
      <w:r>
        <w:t xml:space="preserve"> инфекцией (COVID-19), отмечаю, что эпидемиологическая ситуация по данной инфекции в Нижегородской области расценивается как напряженная.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Начиная с 10.05.2021 заболеваемость новой </w:t>
      </w:r>
      <w:proofErr w:type="spellStart"/>
      <w:r>
        <w:t>коронавирусной</w:t>
      </w:r>
      <w:proofErr w:type="spellEnd"/>
      <w:r>
        <w:t xml:space="preserve"> инфекцией в регионе приобрела тенденцию к росту. Рост заболеваемости отмечен в возрастных группах 18 - 29 лет (на 7% по сравнению с предыдущей неделей), 30 - 49 лет (на 16%). Основную долю (65%) заболевших составляют лица трудоспособного возраста 18 - 65 лет.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Отмечается рост числа заболевших лиц, активно посещающих общественные места (торговые центры, спортивные и иные мероприятия, парки, организации общественного питания) и пользующихся общественным транспортом.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Социальная структура лиц, заболевших новой </w:t>
      </w:r>
      <w:proofErr w:type="spellStart"/>
      <w:r>
        <w:t>коронавирусной</w:t>
      </w:r>
      <w:proofErr w:type="spellEnd"/>
      <w:r>
        <w:t xml:space="preserve"> инфекцией (COVID-19), в Нижегородской области: 38,8% - сотрудники офисов, 6% - сотрудники образовательных учреждений, 4,5% - работники торговли, 4,7% - государственные и муниципальные служащие, 3,5% - работники здравоохранения. Рост по сравнению с предыдущей неделей отмечен среди работников торговли (на 39%), образования (в 1,5 раза), государственных и муниципальных служащих (на 29%).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В связи с продолжающейся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руководствуясь </w:t>
      </w:r>
      <w:hyperlink r:id="rId4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населения", </w:t>
      </w:r>
      <w:hyperlink r:id="rId5" w:history="1">
        <w:r>
          <w:rPr>
            <w:color w:val="0000FF"/>
          </w:rPr>
          <w:t>статьей 10</w:t>
        </w:r>
      </w:hyperlink>
      <w:r>
        <w:t xml:space="preserve"> Федерального закона от 17.09.1998 N 157-ФЗ "Об иммунопрофилактике инфекционных болезней", </w:t>
      </w:r>
      <w:hyperlink r:id="rId6" w:history="1">
        <w:r>
          <w:rPr>
            <w:color w:val="0000FF"/>
          </w:rPr>
          <w:t>п. 18.3</w:t>
        </w:r>
      </w:hyperlink>
      <w:r>
        <w:t xml:space="preserve"> СП 3.1/3.2.3146-13 "Общие требования по профилактике инфекционных и паразитарных болезней",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в Минюсте России 25.04.2014 N 32115), постановляю:</w:t>
      </w:r>
    </w:p>
    <w:p w:rsidR="00FB2B27" w:rsidRDefault="00FB2B27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1. Обеспечить проведение профилактических прививок по эпидемическим показаниям против новой </w:t>
      </w:r>
      <w:proofErr w:type="spellStart"/>
      <w:r>
        <w:t>коронавирусной</w:t>
      </w:r>
      <w:proofErr w:type="spellEnd"/>
      <w:r>
        <w:t xml:space="preserve"> инфекции (COVID-19) следующим категориям (группам) граждан, подлежащих обязательной вакцинации: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1.1. работающим на основании трудового договора, гражданско-правового договора у хозяйствующих субъектов (индивидуальных предпринимателей, юридических лиц), осуществляющих деятельность в организациях: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торговли;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- салонов красоты, косметических, </w:t>
      </w:r>
      <w:proofErr w:type="spellStart"/>
      <w:r>
        <w:t>спа</w:t>
      </w:r>
      <w:proofErr w:type="spellEnd"/>
      <w:r>
        <w:t>-салонов, массажных салонов, соляриев, бань, саун, физкультурно-оздоровительных комплексов, фитнес-клубов, бассейнов;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бытовых услуг, в том числе прачечных, химчисток и иных подобных услуг;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общественного питания;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lastRenderedPageBreak/>
        <w:t>- клиентских подразделений финансовых организаций, организаций, оказывающих услуги почтовой связи;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многофункциональных центров предоставления государственных и муниципальных услуг;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транспорта общего пользования, такси;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образования, здравоохранения, социальной защиты и социального обслуживания;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жилищно-коммунального хозяйства и энергетики;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культурных, выставочных, просветительских мероприятий (в том числе музеев, выставочных залов, библиотек, лекций, тренингов), за исключением официальных мероприятий, организуемых органами исполнительной власти;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досуговых, развлекательных, зрелищных, мероприятий (в том числе игровых мероприятий, мастер-классов);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театров, кинотеатров, концертных залов;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- массовых физкультурных, спортивных мероприятий;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1.2. федеральным государственным гражданским служащим территориальных органов федеральных органов исполнительной власти, расположенных на территории Нижегородской области; государственным гражданским служащим, муниципальным служащим Нижегородской области; лицам, замещающим государственные и муниципальные должности Нижегородской области;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1.3. сотрудникам правоохранительных органов.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2. Руководителям организаций, индивидуальным предпринимателям, осуществляющим деятельность на территории Нижегородской области, указанным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Постановления: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2.1. в срок до 25.07.2021 организовать проведение профилактических прививок первым компонентом или однокомпонентной вакциной, а в срок до 25.08.2021 - вторым компонентом вакцины от новой </w:t>
      </w:r>
      <w:proofErr w:type="spellStart"/>
      <w:r>
        <w:t>коронавирусной</w:t>
      </w:r>
      <w:proofErr w:type="spellEnd"/>
      <w:r>
        <w:t xml:space="preserve"> инфекции, прошедшей государственную регистрацию в Российской Федерации, не менее 60% от общей численности работников, сотрудников;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2.2. усилить информационно-разъяснительную работу среди работников, сотрудников по вопросам профилактики новой </w:t>
      </w:r>
      <w:proofErr w:type="spellStart"/>
      <w:r>
        <w:t>коронавирусной</w:t>
      </w:r>
      <w:proofErr w:type="spellEnd"/>
      <w:r>
        <w:t xml:space="preserve"> инфекции (COVID-19), обратив особое внимание на необходимость проведения профилактических прививок.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3. </w:t>
      </w:r>
      <w:hyperlink w:anchor="P15" w:history="1">
        <w:r>
          <w:rPr>
            <w:color w:val="0000FF"/>
          </w:rPr>
          <w:t>Пункт 1</w:t>
        </w:r>
      </w:hyperlink>
      <w:r>
        <w:t xml:space="preserve"> настоящего Постановления не распространяется на лиц, имеющих противопоказания к профилактической прививке против новой </w:t>
      </w:r>
      <w:proofErr w:type="spellStart"/>
      <w:r>
        <w:t>коронавирусной</w:t>
      </w:r>
      <w:proofErr w:type="spellEnd"/>
      <w:r>
        <w:t xml:space="preserve"> инфекции (COVID-19) в соответствии с </w:t>
      </w:r>
      <w:hyperlink r:id="rId8" w:history="1">
        <w:r>
          <w:rPr>
            <w:color w:val="0000FF"/>
          </w:rPr>
          <w:t>п. 2.10</w:t>
        </w:r>
      </w:hyperlink>
      <w:r>
        <w:t xml:space="preserve">, </w:t>
      </w:r>
      <w:hyperlink r:id="rId9" w:history="1">
        <w:r>
          <w:rPr>
            <w:color w:val="0000FF"/>
          </w:rPr>
          <w:t>2.11</w:t>
        </w:r>
      </w:hyperlink>
      <w:r>
        <w:t xml:space="preserve"> Методических рекомендаций "Порядок проведения вакцинации вакциной ГАМ-КОВИД-ВАК против COVID-19 взрослого населения" и </w:t>
      </w:r>
      <w:hyperlink r:id="rId10" w:history="1">
        <w:r>
          <w:rPr>
            <w:color w:val="0000FF"/>
          </w:rPr>
          <w:t>п. 6.3</w:t>
        </w:r>
      </w:hyperlink>
      <w:r>
        <w:t xml:space="preserve"> стандартной операционной процедуры "Порядок проведения вакцинации против COVID-19 вакциной </w:t>
      </w:r>
      <w:proofErr w:type="spellStart"/>
      <w:r>
        <w:t>ЭпиВакКорона</w:t>
      </w:r>
      <w:proofErr w:type="spellEnd"/>
      <w:r>
        <w:t xml:space="preserve"> взрослому населению" (направлены письмами Минздрава России от 20 февраля 2021 N 1/И/1-1221 и от 21 января 2021 г. N 1/И/1-332) и Инструкцией Министерства здравоохранения Российской Федерации по медицинскому применению лекарственного </w:t>
      </w:r>
      <w:r>
        <w:lastRenderedPageBreak/>
        <w:t xml:space="preserve">препарата </w:t>
      </w:r>
      <w:proofErr w:type="spellStart"/>
      <w:r>
        <w:t>КовиВак</w:t>
      </w:r>
      <w:proofErr w:type="spellEnd"/>
      <w:r>
        <w:t xml:space="preserve"> (вакцина </w:t>
      </w:r>
      <w:proofErr w:type="spellStart"/>
      <w:r>
        <w:t>коронавирусная</w:t>
      </w:r>
      <w:proofErr w:type="spellEnd"/>
      <w:r>
        <w:t xml:space="preserve"> инактивированная </w:t>
      </w:r>
      <w:proofErr w:type="spellStart"/>
      <w:r>
        <w:t>цельновирионная</w:t>
      </w:r>
      <w:proofErr w:type="spellEnd"/>
      <w:r>
        <w:t xml:space="preserve"> концентрированная очищенная).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4. Правительству Нижегородской области: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4.1. организовать проведение вакцинации на территории региона и еженедельно представлять в Управление </w:t>
      </w:r>
      <w:proofErr w:type="spellStart"/>
      <w:r>
        <w:t>Роспотребнадзора</w:t>
      </w:r>
      <w:proofErr w:type="spellEnd"/>
      <w:r>
        <w:t xml:space="preserve"> по Нижегородской области информацию об исполнении настоящего Постановления;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4.2. организовать проведение активного информирования населения о преимуществах вакцинопрофилактики новой </w:t>
      </w:r>
      <w:proofErr w:type="spellStart"/>
      <w:r>
        <w:t>коронавирусной</w:t>
      </w:r>
      <w:proofErr w:type="spellEnd"/>
      <w:r>
        <w:t xml:space="preserve"> инфекции (COVID-19) как наиболее эффективном профилактическом мероприятии.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5. Министерству здравоохранения Нижегородской области: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5.1. обеспечить организацию вакцинации с развертыванием дополнительных прививочных пунктов с привлечением медицинских работников, необходимых для выполнения требований </w:t>
      </w:r>
      <w:hyperlink w:anchor="P15" w:history="1">
        <w:r>
          <w:rPr>
            <w:color w:val="0000FF"/>
          </w:rPr>
          <w:t>пункта 1</w:t>
        </w:r>
      </w:hyperlink>
      <w:r>
        <w:t xml:space="preserve"> настоящего Постановления;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5.2. не допускать скопление людей в пунктах вакцинации против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 xml:space="preserve">6. Начальнику отдела эпидемиологического надзора Управления </w:t>
      </w:r>
      <w:proofErr w:type="spellStart"/>
      <w:r>
        <w:t>Роспотребнадзора</w:t>
      </w:r>
      <w:proofErr w:type="spellEnd"/>
      <w:r>
        <w:t xml:space="preserve"> по Нижегородской области (М.А. </w:t>
      </w:r>
      <w:proofErr w:type="spellStart"/>
      <w:r>
        <w:t>Шарабакиной</w:t>
      </w:r>
      <w:proofErr w:type="spellEnd"/>
      <w:r>
        <w:t xml:space="preserve">) и начальникам территориальных отделов, их заместителям обеспечить контроль за организацией и проведением иммунизации против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FB2B27" w:rsidRDefault="00FB2B27">
      <w:pPr>
        <w:pStyle w:val="ConsPlusNormal"/>
        <w:spacing w:before="220"/>
        <w:ind w:firstLine="540"/>
        <w:jc w:val="both"/>
      </w:pPr>
      <w:r>
        <w:t>7. Контроль исполнения настоящего Постановления оставляю за собой.</w:t>
      </w:r>
    </w:p>
    <w:p w:rsidR="00FB2B27" w:rsidRDefault="00FB2B27">
      <w:pPr>
        <w:pStyle w:val="ConsPlusNormal"/>
        <w:ind w:firstLine="540"/>
        <w:jc w:val="both"/>
      </w:pPr>
    </w:p>
    <w:p w:rsidR="00FB2B27" w:rsidRDefault="00FB2B27">
      <w:pPr>
        <w:pStyle w:val="ConsPlusNormal"/>
        <w:jc w:val="right"/>
      </w:pPr>
      <w:r>
        <w:t>Н.С.КУЧЕРЕНКО</w:t>
      </w:r>
    </w:p>
    <w:p w:rsidR="00FB2B27" w:rsidRDefault="00FB2B27">
      <w:pPr>
        <w:pStyle w:val="ConsPlusNormal"/>
        <w:ind w:firstLine="540"/>
        <w:jc w:val="both"/>
      </w:pPr>
    </w:p>
    <w:p w:rsidR="00FB2B27" w:rsidRDefault="00FB2B27">
      <w:pPr>
        <w:pStyle w:val="ConsPlusNormal"/>
        <w:ind w:firstLine="540"/>
        <w:jc w:val="both"/>
      </w:pPr>
    </w:p>
    <w:p w:rsidR="00FB2B27" w:rsidRDefault="00FB2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734" w:rsidRDefault="00D80734"/>
    <w:sectPr w:rsidR="00D80734" w:rsidSect="008F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7"/>
    <w:rsid w:val="00777B28"/>
    <w:rsid w:val="00D80734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98AF4-CCC0-4389-822C-D807279F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1848&amp;dst=100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65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1999&amp;dst=1001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59&amp;dst=100076" TargetMode="External"/><Relationship Id="rId10" Type="http://schemas.openxmlformats.org/officeDocument/2006/relationships/hyperlink" Target="https://login.consultant.ru/link/?req=doc&amp;base=LAW&amp;n=377597&amp;dst=100109" TargetMode="External"/><Relationship Id="rId4" Type="http://schemas.openxmlformats.org/officeDocument/2006/relationships/hyperlink" Target="https://login.consultant.ru/link/?req=doc&amp;base=LAW&amp;n=389728&amp;dst=100360" TargetMode="External"/><Relationship Id="rId9" Type="http://schemas.openxmlformats.org/officeDocument/2006/relationships/hyperlink" Target="https://login.consultant.ru/link/?req=doc&amp;base=LAW&amp;n=381848&amp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</dc:creator>
  <cp:keywords/>
  <dc:description/>
  <cp:lastModifiedBy>Привалов</cp:lastModifiedBy>
  <cp:revision>2</cp:revision>
  <dcterms:created xsi:type="dcterms:W3CDTF">2021-11-24T05:50:00Z</dcterms:created>
  <dcterms:modified xsi:type="dcterms:W3CDTF">2021-11-24T05:50:00Z</dcterms:modified>
</cp:coreProperties>
</file>