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</w:t>
      </w:r>
      <w:bookmarkStart w:id="0" w:name="_GoBack"/>
      <w:bookmarkEnd w:id="0"/>
      <w:r w:rsidRPr="000F018C">
        <w:rPr>
          <w:rFonts w:ascii="Times New Roman" w:hAnsi="Times New Roman"/>
          <w:b/>
          <w:u w:val="single"/>
        </w:rPr>
        <w:t>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1D2BB9">
        <w:rPr>
          <w:rFonts w:ascii="Times New Roman" w:hAnsi="Times New Roman"/>
          <w:b/>
          <w:u w:val="single"/>
        </w:rPr>
        <w:t>9 месяцев</w:t>
      </w:r>
      <w:r w:rsidR="006952D1">
        <w:rPr>
          <w:rFonts w:ascii="Times New Roman" w:hAnsi="Times New Roman"/>
          <w:b/>
          <w:u w:val="single"/>
        </w:rPr>
        <w:t xml:space="preserve"> </w:t>
      </w:r>
      <w:r w:rsidR="00C94BA1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>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C94BA1">
        <w:rPr>
          <w:rFonts w:ascii="Times New Roman" w:hAnsi="Times New Roman"/>
          <w:b/>
          <w:u w:val="single"/>
        </w:rPr>
        <w:t xml:space="preserve">3 </w:t>
      </w:r>
      <w:r w:rsidR="007406D3" w:rsidRPr="00D76EDA">
        <w:rPr>
          <w:rFonts w:ascii="Times New Roman" w:hAnsi="Times New Roman"/>
          <w:b/>
          <w:u w:val="single"/>
        </w:rPr>
        <w:t>г</w:t>
      </w:r>
      <w:r w:rsidR="003570CD" w:rsidRPr="00D76EDA">
        <w:rPr>
          <w:rFonts w:ascii="Times New Roman" w:hAnsi="Times New Roman"/>
          <w:b/>
          <w:u w:val="single"/>
        </w:rPr>
        <w:t>од</w:t>
      </w:r>
      <w:r w:rsidR="00C94BA1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DBB3C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68</cp:revision>
  <cp:lastPrinted>2019-04-15T11:50:00Z</cp:lastPrinted>
  <dcterms:created xsi:type="dcterms:W3CDTF">2019-04-10T13:50:00Z</dcterms:created>
  <dcterms:modified xsi:type="dcterms:W3CDTF">2023-10-10T12:05:00Z</dcterms:modified>
</cp:coreProperties>
</file>