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3A567E">
        <w:rPr>
          <w:b/>
          <w:sz w:val="22"/>
          <w:szCs w:val="22"/>
          <w:u w:val="single"/>
        </w:rPr>
        <w:t xml:space="preserve"> </w:t>
      </w:r>
      <w:r w:rsidR="00A86173">
        <w:rPr>
          <w:b/>
          <w:sz w:val="22"/>
          <w:szCs w:val="22"/>
          <w:u w:val="single"/>
        </w:rPr>
        <w:t>полугодие</w:t>
      </w:r>
      <w:bookmarkStart w:id="0" w:name="_GoBack"/>
      <w:bookmarkEnd w:id="0"/>
      <w:r w:rsidR="00695FF2">
        <w:rPr>
          <w:b/>
          <w:sz w:val="22"/>
          <w:szCs w:val="22"/>
          <w:u w:val="single"/>
        </w:rPr>
        <w:t xml:space="preserve"> </w:t>
      </w:r>
      <w:r w:rsidR="00136CBE" w:rsidRPr="00C40667">
        <w:rPr>
          <w:b/>
          <w:sz w:val="22"/>
          <w:szCs w:val="22"/>
          <w:u w:val="single"/>
        </w:rPr>
        <w:t>202</w:t>
      </w:r>
      <w:r w:rsidR="00695FF2">
        <w:rPr>
          <w:b/>
          <w:sz w:val="22"/>
          <w:szCs w:val="22"/>
          <w:u w:val="single"/>
        </w:rPr>
        <w:t>1</w:t>
      </w:r>
      <w:r w:rsidR="00960187" w:rsidRPr="00C40667">
        <w:rPr>
          <w:b/>
          <w:sz w:val="22"/>
          <w:szCs w:val="22"/>
          <w:u w:val="single"/>
        </w:rPr>
        <w:t xml:space="preserve"> г.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tbl>
      <w:tblPr>
        <w:tblW w:w="501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586"/>
        <w:gridCol w:w="1708"/>
        <w:gridCol w:w="1409"/>
        <w:gridCol w:w="1557"/>
        <w:gridCol w:w="1976"/>
        <w:gridCol w:w="1413"/>
        <w:gridCol w:w="2822"/>
        <w:gridCol w:w="1715"/>
      </w:tblGrid>
      <w:tr w:rsidR="00FD57BA" w:rsidRPr="00C40667" w:rsidTr="008A3576">
        <w:trPr>
          <w:cantSplit/>
          <w:trHeight w:val="454"/>
        </w:trPr>
        <w:tc>
          <w:tcPr>
            <w:tcW w:w="995" w:type="pct"/>
            <w:gridSpan w:val="2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№№</w:t>
            </w:r>
          </w:p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п/п</w:t>
            </w:r>
          </w:p>
        </w:tc>
        <w:tc>
          <w:tcPr>
            <w:tcW w:w="543" w:type="pct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C40667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20" w:type="pct"/>
            <w:gridSpan w:val="4"/>
          </w:tcPr>
          <w:p w:rsidR="00FD57BA" w:rsidRPr="00C40667" w:rsidRDefault="00FD57BA" w:rsidP="009D2C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C40667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7" w:type="pct"/>
            <w:vMerge w:val="restart"/>
          </w:tcPr>
          <w:p w:rsidR="00FD57BA" w:rsidRPr="00C40667" w:rsidRDefault="00FD57BA" w:rsidP="007035AA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Уточненные даты открытия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45" w:type="pct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8A3576" w:rsidRPr="00C40667" w:rsidTr="008A3576">
        <w:trPr>
          <w:cantSplit/>
          <w:trHeight w:val="454"/>
        </w:trPr>
        <w:tc>
          <w:tcPr>
            <w:tcW w:w="995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5" w:type="pc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8" w:type="pc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габаритные размеры судоходных гидротех</w:t>
            </w:r>
            <w:r w:rsidRPr="00C40667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9" w:type="pc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7" w:type="pct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</w:tr>
      <w:tr w:rsidR="008A3576" w:rsidRPr="00C40667" w:rsidTr="008A3576">
        <w:trPr>
          <w:cantSplit/>
          <w:trHeight w:val="117"/>
        </w:trPr>
        <w:tc>
          <w:tcPr>
            <w:tcW w:w="995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1</w:t>
            </w:r>
          </w:p>
        </w:tc>
        <w:tc>
          <w:tcPr>
            <w:tcW w:w="543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3</w:t>
            </w:r>
          </w:p>
        </w:tc>
        <w:tc>
          <w:tcPr>
            <w:tcW w:w="495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4</w:t>
            </w:r>
          </w:p>
        </w:tc>
        <w:tc>
          <w:tcPr>
            <w:tcW w:w="628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5</w:t>
            </w:r>
          </w:p>
        </w:tc>
        <w:tc>
          <w:tcPr>
            <w:tcW w:w="449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6</w:t>
            </w:r>
          </w:p>
        </w:tc>
        <w:tc>
          <w:tcPr>
            <w:tcW w:w="897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7</w:t>
            </w:r>
          </w:p>
        </w:tc>
        <w:tc>
          <w:tcPr>
            <w:tcW w:w="545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8</w:t>
            </w:r>
          </w:p>
        </w:tc>
      </w:tr>
      <w:tr w:rsidR="008A3576" w:rsidRPr="00C40667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43" w:type="pct"/>
            <w:vAlign w:val="center"/>
          </w:tcPr>
          <w:p w:rsidR="00FD57BA" w:rsidRPr="00C40667" w:rsidRDefault="00FD57BA" w:rsidP="00565893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8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090DE6" w:rsidRPr="00090DE6" w:rsidRDefault="00090DE6" w:rsidP="00090DE6">
            <w:pPr>
              <w:ind w:left="5"/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Габаритные размеры шлюзов: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№№ 13-14, 15-16, 17-18, 21-22, 23-24, 25-26 и 32: 300х30 м;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 33-34: 77,83 х 15,0 м.</w:t>
            </w:r>
          </w:p>
          <w:p w:rsidR="00090DE6" w:rsidRPr="00090DE6" w:rsidRDefault="00090DE6" w:rsidP="00090DE6">
            <w:pPr>
              <w:ind w:left="5"/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FD57BA" w:rsidRPr="00C40667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9" w:type="pct"/>
            <w:vAlign w:val="center"/>
          </w:tcPr>
          <w:p w:rsidR="00FD57BA" w:rsidRPr="00C40667" w:rsidRDefault="00090DE6" w:rsidP="009D2CE8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7" w:type="pct"/>
            <w:vAlign w:val="center"/>
          </w:tcPr>
          <w:p w:rsidR="00913FC6" w:rsidRPr="00913FC6" w:rsidRDefault="00913FC6" w:rsidP="00913FC6">
            <w:pPr>
              <w:jc w:val="center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Планируемые сроки работы: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Городецкий РГСиС (шлюзы № 13-14, № 15-16) с 25.04.2021 по 19.11.2021;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Чебоксарский РГСиС (шлюз № 17-18) с 24.04.2021 по 20.11.2021;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Самарский РГСиС (шлюзы № 21-22, № 23-24) с 22.04.2021 по 20.11.2021;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Балаковский РГСиС (шлюз № 25-26) с 07.04.2021 по 24.11.2021;</w:t>
            </w:r>
          </w:p>
          <w:p w:rsidR="00FD57BA" w:rsidRPr="00C40667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5" w:type="pct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8A3576" w:rsidRPr="00B530DC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B530DC" w:rsidRDefault="008A3576" w:rsidP="00C65D0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43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A214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F446D7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F446D7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F446D7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F446D7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005DD1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43" w:type="pct"/>
            <w:vAlign w:val="center"/>
          </w:tcPr>
          <w:p w:rsidR="008A3576" w:rsidRPr="00A13FA8" w:rsidRDefault="008A3576" w:rsidP="00C65D00">
            <w:pPr>
              <w:jc w:val="center"/>
            </w:pPr>
            <w:r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г.Ахтубинск № АЛ-109/1-р от 30.03.2021 г.,  № АЛ-136-р от 16.04.2021 г., № ЗД-142-р от 21.04.2021 г.</w:t>
            </w:r>
          </w:p>
        </w:tc>
        <w:tc>
          <w:tcPr>
            <w:tcW w:w="448" w:type="pct"/>
            <w:vAlign w:val="center"/>
          </w:tcPr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</w:t>
            </w:r>
          </w:p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</w:p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</w:p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</w:p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01.04-16.04</w:t>
            </w:r>
          </w:p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17.04-22.04</w:t>
            </w:r>
          </w:p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</w:p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</w:p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005DD1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43" w:type="pct"/>
            <w:vAlign w:val="center"/>
          </w:tcPr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г.Ахтубинск -2883 км </w:t>
            </w:r>
          </w:p>
          <w:p w:rsidR="008A3576" w:rsidRPr="00A13FA8" w:rsidRDefault="008A3576" w:rsidP="00C65D00">
            <w:pPr>
              <w:jc w:val="center"/>
            </w:pPr>
            <w:r>
              <w:rPr>
                <w:sz w:val="18"/>
                <w:szCs w:val="18"/>
              </w:rPr>
              <w:t>№ АЛ-109/1-р от 30.03.2021 г.,  № АЛ-136-р от 16.04.2021 г., № ЗД-142-р от 21.04.2021 г.</w:t>
            </w:r>
          </w:p>
        </w:tc>
        <w:tc>
          <w:tcPr>
            <w:tcW w:w="448" w:type="pct"/>
            <w:vAlign w:val="center"/>
          </w:tcPr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330/50/700</w:t>
            </w:r>
          </w:p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330/50/700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1E76B4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01.04-16.04</w:t>
            </w:r>
          </w:p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17.04-22.04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005DD1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 w:rsidRPr="001E76B4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005DD1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B530DC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B530DC" w:rsidRDefault="008A3576" w:rsidP="00C65D0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43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005DD1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B530DC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B530DC" w:rsidRDefault="008A3576" w:rsidP="00C65D0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3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B530DC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B530DC" w:rsidRDefault="008A3576" w:rsidP="00C65D0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43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B530DC" w:rsidRDefault="008A3576" w:rsidP="00C65D0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43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04" w:type="pct"/>
            <w:vAlign w:val="center"/>
          </w:tcPr>
          <w:p w:rsidR="008A3576" w:rsidRPr="00971109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B530DC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B530DC" w:rsidRDefault="008A3576" w:rsidP="00C65D00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43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B530DC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7C01D4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04" w:type="pct"/>
            <w:vAlign w:val="center"/>
          </w:tcPr>
          <w:p w:rsidR="008A3576" w:rsidRPr="007C01D4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EC0A40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C0A40" w:rsidRDefault="008A3576" w:rsidP="00C65D0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lastRenderedPageBreak/>
              <w:t>Река Сок</w:t>
            </w:r>
          </w:p>
        </w:tc>
        <w:tc>
          <w:tcPr>
            <w:tcW w:w="543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491" w:type="pct"/>
            <w:vAlign w:val="center"/>
          </w:tcPr>
          <w:p w:rsidR="008A3576" w:rsidRPr="00C23196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04" w:type="pct"/>
            <w:vAlign w:val="center"/>
          </w:tcPr>
          <w:p w:rsidR="008A3576" w:rsidRPr="00C23196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EC0A40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C0A40" w:rsidRDefault="008A3576" w:rsidP="00C65D0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43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CB75D9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EC0A40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EC0A40" w:rsidRDefault="008A3576" w:rsidP="00C65D00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43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EC0A40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FE4E43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FE4E43" w:rsidRDefault="008A3576" w:rsidP="00C65D00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43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FE4E4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9431FF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CD1198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CD1198" w:rsidRDefault="008A3576" w:rsidP="00C65D00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43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CD1198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777694" w:rsidRDefault="008A3576" w:rsidP="00C65D00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N2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Default="008A3576" w:rsidP="00C65D00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777694" w:rsidRDefault="008A3576" w:rsidP="00C65D00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777694" w:rsidRDefault="008A3576" w:rsidP="00C65D00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734983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734983" w:rsidRDefault="008A3576" w:rsidP="00C65D00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43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734983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734983" w:rsidRDefault="008A3576" w:rsidP="00C65D00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43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734983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lastRenderedPageBreak/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6354A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6354AF" w:rsidRDefault="008A3576" w:rsidP="00C65D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43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13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43" w:type="pct"/>
            <w:vAlign w:val="center"/>
          </w:tcPr>
          <w:p w:rsidR="008A3576" w:rsidRPr="00455BC7" w:rsidRDefault="008A3576" w:rsidP="00C65D00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55BC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8A3576" w:rsidRPr="006354A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6354AF" w:rsidRDefault="008A3576" w:rsidP="00C65D00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3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A3576" w:rsidRPr="006354AF" w:rsidRDefault="008A3576" w:rsidP="00C65D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3576" w:rsidRPr="009431FF" w:rsidTr="008A3576">
        <w:trPr>
          <w:cantSplit/>
          <w:trHeight w:val="454"/>
        </w:trPr>
        <w:tc>
          <w:tcPr>
            <w:tcW w:w="995" w:type="pct"/>
            <w:gridSpan w:val="2"/>
            <w:vAlign w:val="center"/>
          </w:tcPr>
          <w:p w:rsidR="008A3576" w:rsidRPr="00131374" w:rsidRDefault="008A3576" w:rsidP="00C65D00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43" w:type="pct"/>
            <w:vAlign w:val="center"/>
          </w:tcPr>
          <w:p w:rsidR="008A3576" w:rsidRPr="001951F0" w:rsidRDefault="008A3576" w:rsidP="00C65D00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8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vAlign w:val="center"/>
          </w:tcPr>
          <w:p w:rsidR="008A3576" w:rsidRPr="00FE1E19" w:rsidRDefault="008A3576" w:rsidP="00C65D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9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7" w:type="pct"/>
            <w:vAlign w:val="center"/>
          </w:tcPr>
          <w:p w:rsidR="008A3576" w:rsidRPr="00455BC7" w:rsidRDefault="008A3576" w:rsidP="00C65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5" w:type="pct"/>
            <w:vAlign w:val="center"/>
          </w:tcPr>
          <w:p w:rsidR="008A3576" w:rsidRPr="009431FF" w:rsidRDefault="008A3576" w:rsidP="00C65D00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8A3576" w:rsidRDefault="008A3576" w:rsidP="008A3576">
      <w:pPr>
        <w:rPr>
          <w:b/>
          <w:iCs/>
        </w:rPr>
      </w:pPr>
    </w:p>
    <w:p w:rsidR="00A477C2" w:rsidRPr="00A477C2" w:rsidRDefault="00A477C2" w:rsidP="00A477C2">
      <w:pPr>
        <w:ind w:firstLine="720"/>
        <w:rPr>
          <w:b/>
          <w:iCs/>
          <w:lang w:val="en-US"/>
        </w:rPr>
      </w:pPr>
      <w:r w:rsidRPr="00A477C2">
        <w:rPr>
          <w:b/>
          <w:iCs/>
        </w:rPr>
        <w:t>Примечание:</w:t>
      </w:r>
    </w:p>
    <w:p w:rsidR="00A477C2" w:rsidRPr="00A477C2" w:rsidRDefault="00A477C2" w:rsidP="00A477C2">
      <w:pPr>
        <w:ind w:firstLine="720"/>
        <w:rPr>
          <w:iCs/>
        </w:rPr>
      </w:pPr>
      <w:r w:rsidRPr="00A477C2">
        <w:rPr>
          <w:iCs/>
        </w:rPr>
        <w:t>1. В графе № 2 для всех пунктов наименований следует читать: 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2021 года».</w:t>
      </w:r>
    </w:p>
    <w:p w:rsidR="00DE3ED2" w:rsidRDefault="00DE3ED2" w:rsidP="00073A42">
      <w:pPr>
        <w:rPr>
          <w:iCs/>
        </w:rPr>
      </w:pPr>
    </w:p>
    <w:sectPr w:rsidR="00DE3ED2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32" w:rsidRDefault="00713632">
      <w:r>
        <w:separator/>
      </w:r>
    </w:p>
  </w:endnote>
  <w:endnote w:type="continuationSeparator" w:id="0">
    <w:p w:rsidR="00713632" w:rsidRDefault="0071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32" w:rsidRDefault="00713632">
      <w:r>
        <w:separator/>
      </w:r>
    </w:p>
  </w:footnote>
  <w:footnote w:type="continuationSeparator" w:id="0">
    <w:p w:rsidR="00713632" w:rsidRDefault="0071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36CBE"/>
    <w:rsid w:val="00164C7E"/>
    <w:rsid w:val="001710BA"/>
    <w:rsid w:val="0017288F"/>
    <w:rsid w:val="001B42CA"/>
    <w:rsid w:val="001E696A"/>
    <w:rsid w:val="001E6CCA"/>
    <w:rsid w:val="00201DF5"/>
    <w:rsid w:val="00242D0A"/>
    <w:rsid w:val="0025699B"/>
    <w:rsid w:val="0026798C"/>
    <w:rsid w:val="00281662"/>
    <w:rsid w:val="00285631"/>
    <w:rsid w:val="002918BA"/>
    <w:rsid w:val="002967FF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6515"/>
    <w:rsid w:val="003A14D0"/>
    <w:rsid w:val="003A2AB2"/>
    <w:rsid w:val="003A4CD9"/>
    <w:rsid w:val="003A567E"/>
    <w:rsid w:val="003F5169"/>
    <w:rsid w:val="003F6185"/>
    <w:rsid w:val="004039E6"/>
    <w:rsid w:val="00405B15"/>
    <w:rsid w:val="00427F33"/>
    <w:rsid w:val="00452226"/>
    <w:rsid w:val="004608D8"/>
    <w:rsid w:val="0047135E"/>
    <w:rsid w:val="004941EB"/>
    <w:rsid w:val="00494FEF"/>
    <w:rsid w:val="004A34A3"/>
    <w:rsid w:val="004A714D"/>
    <w:rsid w:val="004D2E67"/>
    <w:rsid w:val="004E4EFB"/>
    <w:rsid w:val="004E5E29"/>
    <w:rsid w:val="00505260"/>
    <w:rsid w:val="005064BB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6111A8"/>
    <w:rsid w:val="006350E4"/>
    <w:rsid w:val="00677190"/>
    <w:rsid w:val="00695FF2"/>
    <w:rsid w:val="006C0BD9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A3576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598E"/>
    <w:rsid w:val="00A724DC"/>
    <w:rsid w:val="00A86173"/>
    <w:rsid w:val="00A93B70"/>
    <w:rsid w:val="00AA0337"/>
    <w:rsid w:val="00AB469D"/>
    <w:rsid w:val="00AB4999"/>
    <w:rsid w:val="00AD1796"/>
    <w:rsid w:val="00AE6A19"/>
    <w:rsid w:val="00B101C6"/>
    <w:rsid w:val="00B8211E"/>
    <w:rsid w:val="00BC135F"/>
    <w:rsid w:val="00BD791B"/>
    <w:rsid w:val="00C022EF"/>
    <w:rsid w:val="00C10476"/>
    <w:rsid w:val="00C1329B"/>
    <w:rsid w:val="00C40667"/>
    <w:rsid w:val="00C428B1"/>
    <w:rsid w:val="00C517B2"/>
    <w:rsid w:val="00C5188A"/>
    <w:rsid w:val="00C558DE"/>
    <w:rsid w:val="00C62726"/>
    <w:rsid w:val="00C6553F"/>
    <w:rsid w:val="00C76C5C"/>
    <w:rsid w:val="00C8456F"/>
    <w:rsid w:val="00C92F35"/>
    <w:rsid w:val="00CB2DEF"/>
    <w:rsid w:val="00CB6BCD"/>
    <w:rsid w:val="00D24B37"/>
    <w:rsid w:val="00D4009B"/>
    <w:rsid w:val="00D45EF1"/>
    <w:rsid w:val="00D52111"/>
    <w:rsid w:val="00D825C4"/>
    <w:rsid w:val="00D97DD0"/>
    <w:rsid w:val="00DC13A0"/>
    <w:rsid w:val="00DD0274"/>
    <w:rsid w:val="00DE3ED2"/>
    <w:rsid w:val="00E048E2"/>
    <w:rsid w:val="00E0582F"/>
    <w:rsid w:val="00E158F7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297AF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BEE9-4D6A-4777-845B-D27BC00A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4</cp:revision>
  <cp:lastPrinted>2018-12-13T08:30:00Z</cp:lastPrinted>
  <dcterms:created xsi:type="dcterms:W3CDTF">2021-06-29T12:09:00Z</dcterms:created>
  <dcterms:modified xsi:type="dcterms:W3CDTF">2021-07-06T05:26:00Z</dcterms:modified>
</cp:coreProperties>
</file>